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86" w:rsidRDefault="00395A86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bookmarkStart w:id="0" w:name="_GoBack"/>
      <w:bookmarkEnd w:id="0"/>
      <w:r>
        <w:rPr>
          <w:sz w:val="28"/>
        </w:rPr>
        <w:t>Schiedel AVANT-PARAT</w:t>
      </w:r>
      <w:r>
        <w:rPr>
          <w:sz w:val="20"/>
        </w:rPr>
        <w:t xml:space="preserve"> </w:t>
      </w:r>
      <w:r>
        <w:rPr>
          <w:sz w:val="28"/>
        </w:rPr>
        <w:tab/>
      </w:r>
      <w:r w:rsidR="0010712A">
        <w:rPr>
          <w:sz w:val="28"/>
        </w:rPr>
        <w:br/>
      </w:r>
      <w:r>
        <w:rPr>
          <w:b/>
          <w:sz w:val="20"/>
        </w:rPr>
        <w:t xml:space="preserve">Geschosshohe </w:t>
      </w:r>
      <w:r w:rsidR="00AD1140">
        <w:rPr>
          <w:b/>
          <w:sz w:val="20"/>
        </w:rPr>
        <w:t>E</w:t>
      </w:r>
      <w:r>
        <w:rPr>
          <w:b/>
          <w:sz w:val="20"/>
        </w:rPr>
        <w:t>lemente mit keramischer Abgasleitung</w:t>
      </w:r>
    </w:p>
    <w:p w:rsidR="00395A86" w:rsidRDefault="00395A86" w:rsidP="00714159">
      <w:pPr>
        <w:pStyle w:val="fArtikel"/>
        <w:keepNext w:val="0"/>
        <w:widowControl/>
        <w:ind w:left="2268" w:right="0" w:firstLine="0"/>
        <w:jc w:val="left"/>
      </w:pPr>
      <w:r>
        <w:t>Zweischaliges feuchteunempfindliches Abgasleitungss</w:t>
      </w:r>
      <w:r w:rsidR="00AE6334">
        <w:t xml:space="preserve">ystem als </w:t>
      </w:r>
      <w:r w:rsidR="00AB5000">
        <w:br/>
        <w:t>geschoss</w:t>
      </w:r>
      <w:r w:rsidR="00AE6334">
        <w:t>hohe Fertige</w:t>
      </w:r>
      <w:r>
        <w:t>lemente</w:t>
      </w:r>
      <w:r w:rsidR="00714159">
        <w:rPr>
          <w:rFonts w:cs="Arial"/>
          <w:color w:val="000000"/>
        </w:rPr>
        <w:t xml:space="preserve">. </w:t>
      </w:r>
      <w:r w:rsidR="00714159">
        <w:t xml:space="preserve">Bestehend aus Leichtbeton-Mantelsteinen </w:t>
      </w:r>
      <w:r w:rsidR="00AB5000">
        <w:br/>
      </w:r>
      <w:r w:rsidR="00714159">
        <w:t xml:space="preserve">und </w:t>
      </w:r>
      <w:r w:rsidR="00714159">
        <w:rPr>
          <w:rFonts w:cs="Arial"/>
          <w:color w:val="000000"/>
        </w:rPr>
        <w:t>keramischen, isostatisch ge</w:t>
      </w:r>
      <w:r w:rsidR="00714159" w:rsidRPr="00353A8B">
        <w:rPr>
          <w:rFonts w:cs="Arial"/>
          <w:color w:val="000000"/>
        </w:rPr>
        <w:t>pressten Profilrohren mit angeformter M</w:t>
      </w:r>
      <w:r w:rsidR="00714159">
        <w:rPr>
          <w:rFonts w:cs="Arial"/>
          <w:color w:val="000000"/>
        </w:rPr>
        <w:t>uffen-Steckverbindung</w:t>
      </w:r>
      <w:r w:rsidR="00714159">
        <w:t xml:space="preserve"> und einem Feuchtedurchgangswert </w:t>
      </w:r>
      <w:r w:rsidR="00714159" w:rsidRPr="00887B5D">
        <w:rPr>
          <w:u w:val="single"/>
        </w:rPr>
        <w:t>&lt;</w:t>
      </w:r>
      <w:r w:rsidR="00714159">
        <w:t xml:space="preserve"> 2,0 g/hm², </w:t>
      </w:r>
      <w:r w:rsidR="00714159">
        <w:rPr>
          <w:rFonts w:cs="Arial"/>
          <w:color w:val="000000"/>
        </w:rPr>
        <w:t xml:space="preserve">gemäß Zulassungs-Nr. DIBt Berlin </w:t>
      </w:r>
      <w:r w:rsidR="00AC4232">
        <w:rPr>
          <w:rFonts w:cs="Arial"/>
          <w:color w:val="000000"/>
        </w:rPr>
        <w:t>Z-7.4-3531</w:t>
      </w:r>
      <w:r w:rsidR="00AC4232" w:rsidRPr="00353A8B">
        <w:rPr>
          <w:rFonts w:cs="Arial"/>
          <w:color w:val="000000"/>
        </w:rPr>
        <w:t>.</w:t>
      </w:r>
      <w:r w:rsidR="00A72A81">
        <w:rPr>
          <w:rFonts w:cs="Arial"/>
          <w:color w:val="000000"/>
        </w:rPr>
        <w:br/>
      </w:r>
      <w:r w:rsidR="00714159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 xml:space="preserve">Geeignet für den Betrieb von </w:t>
      </w:r>
      <w:r w:rsidR="00714159">
        <w:rPr>
          <w:rFonts w:cs="Arial"/>
          <w:color w:val="000000"/>
        </w:rPr>
        <w:t xml:space="preserve">Niedertemperatur- und </w:t>
      </w:r>
      <w:r w:rsidR="00714159" w:rsidRPr="00353A8B">
        <w:rPr>
          <w:rFonts w:cs="Arial"/>
          <w:color w:val="000000"/>
        </w:rPr>
        <w:t xml:space="preserve">Brennwertfeuerstätten </w:t>
      </w:r>
      <w:r w:rsidR="00A72A81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 xml:space="preserve">im </w:t>
      </w:r>
      <w:r w:rsidR="00714159">
        <w:rPr>
          <w:rFonts w:cs="Arial"/>
          <w:color w:val="000000"/>
        </w:rPr>
        <w:t xml:space="preserve">raumluftabhängigen, sowie </w:t>
      </w:r>
      <w:r w:rsidR="00714159" w:rsidRPr="00353A8B">
        <w:rPr>
          <w:rFonts w:cs="Arial"/>
          <w:color w:val="000000"/>
        </w:rPr>
        <w:t>raumluft</w:t>
      </w:r>
      <w:r w:rsidR="00714159">
        <w:rPr>
          <w:rFonts w:cs="Arial"/>
          <w:color w:val="000000"/>
        </w:rPr>
        <w:t xml:space="preserve">unabhängigen </w:t>
      </w:r>
      <w:r w:rsidR="00714159" w:rsidRPr="00353A8B">
        <w:rPr>
          <w:rFonts w:cs="Arial"/>
          <w:color w:val="000000"/>
        </w:rPr>
        <w:t>Gegenstrombetrieb</w:t>
      </w:r>
      <w:r w:rsidR="00714159">
        <w:rPr>
          <w:rFonts w:cs="Arial"/>
          <w:color w:val="000000"/>
        </w:rPr>
        <w:t xml:space="preserve">, </w:t>
      </w:r>
      <w:r w:rsidR="00A72A81">
        <w:rPr>
          <w:rFonts w:cs="Arial"/>
          <w:color w:val="000000"/>
        </w:rPr>
        <w:br/>
      </w:r>
      <w:r w:rsidR="00714159">
        <w:rPr>
          <w:rFonts w:cs="Arial"/>
          <w:color w:val="000000"/>
        </w:rPr>
        <w:t>mit gasförmigen und flüssigen Brennstoffen</w:t>
      </w:r>
      <w:r w:rsidR="007D0531">
        <w:rPr>
          <w:rFonts w:cs="Arial"/>
          <w:color w:val="000000"/>
        </w:rPr>
        <w:t xml:space="preserve"> (</w:t>
      </w:r>
      <w:r w:rsidR="007D0531">
        <w:t xml:space="preserve">Abgastemperatur </w:t>
      </w:r>
      <w:r w:rsidR="007D0531" w:rsidRPr="00E40733">
        <w:rPr>
          <w:rFonts w:cs="Arial"/>
          <w:color w:val="000000"/>
          <w:u w:val="single"/>
        </w:rPr>
        <w:t>&lt;</w:t>
      </w:r>
      <w:r w:rsidR="007D0531">
        <w:rPr>
          <w:rFonts w:cs="Arial"/>
          <w:color w:val="000000"/>
        </w:rPr>
        <w:t xml:space="preserve"> </w:t>
      </w:r>
      <w:r w:rsidR="007D0531">
        <w:t>200°C).</w:t>
      </w:r>
      <w:r w:rsidR="0010712A">
        <w:br/>
      </w:r>
      <w:r w:rsidR="00714159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714159">
        <w:rPr>
          <w:rFonts w:cs="Arial"/>
          <w:color w:val="000000"/>
        </w:rPr>
        <w:t>en des Herstellers versetzen.</w:t>
      </w:r>
      <w:r>
        <w:t xml:space="preserve"> </w:t>
      </w:r>
      <w:r w:rsidR="00AE6334">
        <w:br/>
      </w:r>
    </w:p>
    <w:p w:rsidR="00395A86" w:rsidRDefault="00395A86">
      <w:pPr>
        <w:pStyle w:val="fTitel"/>
        <w:keepLines w:val="0"/>
        <w:widowControl/>
        <w:tabs>
          <w:tab w:val="left" w:pos="2268"/>
        </w:tabs>
      </w:pPr>
      <w:bookmarkStart w:id="1" w:name="OLE_LINK2"/>
      <w:r>
        <w:t>1.1</w:t>
      </w:r>
      <w:r>
        <w:tab/>
        <w:t>Abgasleitungssystem</w:t>
      </w:r>
    </w:p>
    <w:bookmarkEnd w:id="1"/>
    <w:p w:rsidR="00C76E11" w:rsidRDefault="00395A86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 w:rsidR="00354B33">
        <w:rPr>
          <w:b/>
        </w:rPr>
        <w:t>........</w:t>
      </w:r>
      <w:r>
        <w:rPr>
          <w:b/>
        </w:rPr>
        <w:t>. stgm.</w:t>
      </w:r>
      <w:r>
        <w:tab/>
      </w:r>
      <w:r>
        <w:rPr>
          <w:b/>
        </w:rPr>
        <w:t>Schiedel AVANT-PARAT</w:t>
      </w:r>
      <w:r>
        <w:br/>
        <w:t>(Gesamthö</w:t>
      </w:r>
      <w:r w:rsidR="00E41C3F">
        <w:t>he)</w:t>
      </w:r>
      <w:r w:rsidR="00E41C3F">
        <w:br/>
      </w:r>
      <w:r w:rsidR="00E41C3F">
        <w:br/>
        <w:t>Typ:  AVP...............</w:t>
      </w:r>
      <w:r w:rsidR="00CB07EC">
        <w:br/>
        <w:t>Lichter Ø ....</w:t>
      </w:r>
      <w:r>
        <w:t>........... cm</w:t>
      </w:r>
      <w:r>
        <w:br/>
        <w:t>Außenmaß ........... x ........... cm</w:t>
      </w:r>
      <w:r>
        <w:br/>
      </w:r>
      <w:r>
        <w:br/>
      </w:r>
      <w:r w:rsidRPr="00AB55C3">
        <w:rPr>
          <w:u w:val="single"/>
        </w:rPr>
        <w:t>1 Anlage, bestehend aus:</w:t>
      </w:r>
      <w:r w:rsidR="000254A0">
        <w:br/>
      </w:r>
      <w:r w:rsidR="000254A0">
        <w:br/>
      </w:r>
      <w:r w:rsidR="000254A0" w:rsidRPr="000254A0">
        <w:t>1</w:t>
      </w:r>
      <w:r w:rsidR="000254A0">
        <w:rPr>
          <w:b/>
        </w:rPr>
        <w:t xml:space="preserve"> PARAT-Set </w:t>
      </w:r>
      <w:r w:rsidR="000254A0">
        <w:t>für Fußteil und Mündung, bestehend aus:</w:t>
      </w:r>
      <w:r w:rsidR="0010712A">
        <w:br/>
      </w:r>
      <w:r w:rsidR="00D52C8D">
        <w:t xml:space="preserve">• </w:t>
      </w:r>
      <w:r>
        <w:t>Fußteil (</w:t>
      </w:r>
      <w:r w:rsidR="00BD6A9B">
        <w:t xml:space="preserve">mit Putztür, </w:t>
      </w:r>
      <w:r w:rsidR="0049381B">
        <w:rPr>
          <w:rFonts w:cs="Arial"/>
          <w:color w:val="000000"/>
        </w:rPr>
        <w:t xml:space="preserve">Putztüranschluss mit Revisionsverschluss, </w:t>
      </w:r>
      <w:r w:rsidR="0010712A">
        <w:rPr>
          <w:rFonts w:cs="Arial"/>
          <w:color w:val="000000"/>
        </w:rPr>
        <w:br/>
      </w:r>
      <w:r w:rsidR="0049381B">
        <w:rPr>
          <w:rFonts w:cs="Arial"/>
          <w:color w:val="000000"/>
        </w:rPr>
        <w:t>Kondensattür, Konde</w:t>
      </w:r>
      <w:r w:rsidR="009612B1">
        <w:rPr>
          <w:rFonts w:cs="Arial"/>
          <w:color w:val="000000"/>
        </w:rPr>
        <w:t>nsatschale mit Ablauf, Siphon und</w:t>
      </w:r>
      <w:r w:rsidR="0049381B">
        <w:rPr>
          <w:rFonts w:cs="Arial"/>
          <w:color w:val="000000"/>
        </w:rPr>
        <w:t xml:space="preserve"> HT-Rohr-</w:t>
      </w:r>
      <w:r w:rsidR="0049381B">
        <w:rPr>
          <w:rFonts w:cs="Arial"/>
          <w:color w:val="000000"/>
        </w:rPr>
        <w:br/>
        <w:t>Adapter DN 40</w:t>
      </w:r>
      <w:r w:rsidR="001553EE">
        <w:t>)</w:t>
      </w:r>
      <w:r w:rsidR="0049381B">
        <w:t>, Versetzmittel</w:t>
      </w:r>
      <w:r w:rsidR="001553EE">
        <w:br/>
      </w:r>
      <w:r w:rsidR="00CB07EC">
        <w:t xml:space="preserve">• </w:t>
      </w:r>
      <w:r w:rsidR="00B717EB">
        <w:t xml:space="preserve">1 </w:t>
      </w:r>
      <w:r w:rsidR="00CB07EC">
        <w:t>Abströmkonus</w:t>
      </w:r>
      <w:r>
        <w:t xml:space="preserve"> </w:t>
      </w:r>
      <w:r w:rsidR="000254A0">
        <w:br/>
      </w:r>
      <w:r w:rsidR="000254A0">
        <w:br/>
      </w:r>
      <w:r w:rsidR="000254A0" w:rsidRPr="00BD6A9B">
        <w:t>1</w:t>
      </w:r>
      <w:r w:rsidR="000254A0">
        <w:rPr>
          <w:b/>
        </w:rPr>
        <w:t xml:space="preserve"> Rauchrohranschluss</w:t>
      </w:r>
      <w:r w:rsidR="000254A0">
        <w:t xml:space="preserve"> </w:t>
      </w:r>
      <w:r w:rsidR="000254A0">
        <w:rPr>
          <w:b/>
        </w:rPr>
        <w:t>90°</w:t>
      </w:r>
      <w:r w:rsidR="000254A0">
        <w:t xml:space="preserve">, mit innerem Steck-Adapter </w:t>
      </w:r>
      <w:r w:rsidR="000254A0">
        <w:br/>
        <w:t xml:space="preserve">und </w:t>
      </w:r>
      <w:r w:rsidR="000254A0">
        <w:rPr>
          <w:rFonts w:cs="Arial"/>
          <w:color w:val="000000"/>
        </w:rPr>
        <w:t>RA-Anschlussblende</w:t>
      </w:r>
      <w:r w:rsidR="000254A0">
        <w:br/>
      </w:r>
      <w:r w:rsidR="000254A0">
        <w:br/>
      </w:r>
      <w:r w:rsidR="00BD6A9B">
        <w:t xml:space="preserve">1 </w:t>
      </w:r>
      <w:r w:rsidR="00BD6A9B">
        <w:rPr>
          <w:b/>
        </w:rPr>
        <w:t>Zul</w:t>
      </w:r>
      <w:r w:rsidR="00124A23">
        <w:rPr>
          <w:b/>
        </w:rPr>
        <w:t>uft-K</w:t>
      </w:r>
      <w:r w:rsidR="00BD6A9B">
        <w:rPr>
          <w:b/>
        </w:rPr>
        <w:t>opfplatte</w:t>
      </w:r>
      <w:r w:rsidR="00407364">
        <w:rPr>
          <w:b/>
        </w:rPr>
        <w:t xml:space="preserve"> </w:t>
      </w:r>
      <w:r w:rsidR="00407364" w:rsidRPr="00407364">
        <w:t>nach Wahl</w:t>
      </w:r>
      <w:r w:rsidR="00BD6A9B">
        <w:t>,</w:t>
      </w:r>
      <w:r w:rsidR="00250249">
        <w:t xml:space="preserve"> </w:t>
      </w:r>
      <w:r w:rsidR="00250249">
        <w:rPr>
          <w:rFonts w:cs="Arial"/>
          <w:color w:val="000000"/>
        </w:rPr>
        <w:t xml:space="preserve">aus </w:t>
      </w:r>
      <w:r w:rsidR="00250249" w:rsidRPr="00353A8B">
        <w:rPr>
          <w:rFonts w:cs="Arial"/>
          <w:color w:val="000000"/>
        </w:rPr>
        <w:t>korrosions</w:t>
      </w:r>
      <w:r w:rsidR="00250249">
        <w:rPr>
          <w:rFonts w:cs="Arial"/>
          <w:color w:val="000000"/>
        </w:rPr>
        <w:t>beständigem Edelstahl,</w:t>
      </w:r>
      <w:r w:rsidR="00250249">
        <w:rPr>
          <w:rFonts w:cs="Arial"/>
          <w:color w:val="000000"/>
        </w:rPr>
        <w:br/>
      </w:r>
      <w:r w:rsidR="00250249" w:rsidRPr="00353A8B">
        <w:rPr>
          <w:rFonts w:cs="Arial"/>
          <w:color w:val="000000"/>
        </w:rPr>
        <w:t xml:space="preserve">inkl. </w:t>
      </w:r>
      <w:r w:rsidR="00250249">
        <w:rPr>
          <w:rFonts w:cs="Arial"/>
          <w:color w:val="000000"/>
        </w:rPr>
        <w:t>Montage</w:t>
      </w:r>
      <w:r w:rsidR="00250249" w:rsidRPr="00353A8B">
        <w:rPr>
          <w:rFonts w:cs="Arial"/>
          <w:color w:val="000000"/>
        </w:rPr>
        <w:t>-Set, für:</w:t>
      </w:r>
      <w:r w:rsidR="00407364">
        <w:br/>
      </w:r>
      <w:r w:rsidR="00407364">
        <w:rPr>
          <w:rFonts w:cs="Arial"/>
          <w:color w:val="000000"/>
        </w:rPr>
        <w:t>.......... Überstand</w:t>
      </w:r>
      <w:r w:rsidR="00250249">
        <w:rPr>
          <w:rFonts w:cs="Arial"/>
          <w:color w:val="000000"/>
        </w:rPr>
        <w:t xml:space="preserve"> 11,5 cm</w:t>
      </w:r>
      <w:r w:rsidR="00407364">
        <w:rPr>
          <w:rFonts w:cs="Arial"/>
          <w:color w:val="000000"/>
        </w:rPr>
        <w:t xml:space="preserve"> </w:t>
      </w:r>
      <w:r w:rsidR="00250249">
        <w:rPr>
          <w:rFonts w:cs="Arial"/>
          <w:color w:val="000000"/>
        </w:rPr>
        <w:t>(</w:t>
      </w:r>
      <w:r w:rsidR="00D0796C">
        <w:t>Verblechung</w:t>
      </w:r>
      <w:r w:rsidR="00250249">
        <w:t>,</w:t>
      </w:r>
      <w:r w:rsidR="00D0796C">
        <w:t xml:space="preserve"> Verschieferung oder Stülpkopf</w:t>
      </w:r>
      <w:r w:rsidR="00250249">
        <w:t>)</w:t>
      </w:r>
      <w:r w:rsidR="00407364">
        <w:br/>
      </w:r>
      <w:r w:rsidR="00407364" w:rsidRPr="00353A8B">
        <w:rPr>
          <w:rFonts w:cs="Arial"/>
          <w:color w:val="000000"/>
        </w:rPr>
        <w:t xml:space="preserve">.......... </w:t>
      </w:r>
      <w:r w:rsidR="00250249" w:rsidRPr="00353A8B">
        <w:rPr>
          <w:rFonts w:cs="Arial"/>
          <w:color w:val="000000"/>
        </w:rPr>
        <w:t>Überstand 19 cm (Ummauerung 11,5 cm)</w:t>
      </w:r>
      <w:r w:rsidR="00F3313E">
        <w:br/>
      </w:r>
      <w:r w:rsidR="000254A0">
        <w:br/>
      </w:r>
      <w:r w:rsidR="00BD6A9B">
        <w:t>Material</w:t>
      </w:r>
      <w:r>
        <w:t>:</w:t>
      </w:r>
      <w:r w:rsidR="000254A0">
        <w:br/>
      </w:r>
      <w:r w:rsidR="00BD6A9B">
        <w:t>Lohn</w:t>
      </w:r>
      <w:r w:rsidR="00D52C8D">
        <w:t>:</w:t>
      </w:r>
      <w:r w:rsidR="00D52C8D">
        <w:tab/>
      </w:r>
      <w:r w:rsidR="00D52C8D">
        <w:tab/>
      </w:r>
      <w:r w:rsidR="00D52C8D">
        <w:tab/>
      </w:r>
      <w:r>
        <w:t>E.P.:</w:t>
      </w:r>
      <w:r>
        <w:tab/>
      </w:r>
      <w:r>
        <w:tab/>
      </w:r>
      <w:r w:rsidR="000254A0">
        <w:tab/>
      </w:r>
      <w:r>
        <w:t>G.P.:</w:t>
      </w:r>
      <w:r w:rsidR="00F525E3">
        <w:br/>
      </w:r>
      <w:r w:rsidR="00C76E11">
        <w:br/>
      </w:r>
    </w:p>
    <w:p w:rsidR="00CB07EC" w:rsidRDefault="00CB07EC" w:rsidP="00CB07EC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CB07EC" w:rsidRDefault="00CB07EC" w:rsidP="00CB07E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 w:rsidR="00F525E3">
        <w:br/>
      </w:r>
      <w:r w:rsidR="00C76E11">
        <w:t>und auszuführen:</w:t>
      </w:r>
      <w:r>
        <w:br/>
      </w:r>
    </w:p>
    <w:p w:rsidR="00395A86" w:rsidRDefault="00CB07EC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>Örtlicher Anschluss des Kondensatablaufs</w:t>
      </w:r>
      <w:r>
        <w:rPr>
          <w:rFonts w:cs="Arial"/>
          <w:color w:val="000000"/>
        </w:rPr>
        <w:t xml:space="preserve"> (HT-Rohr, DN 40) </w:t>
      </w:r>
      <w:r>
        <w:rPr>
          <w:rFonts w:cs="Arial"/>
          <w:color w:val="000000"/>
        </w:rPr>
        <w:br/>
        <w:t>vom Fußteil</w:t>
      </w:r>
      <w:r w:rsidRPr="00353A8B">
        <w:rPr>
          <w:rFonts w:cs="Arial"/>
          <w:color w:val="000000"/>
        </w:rPr>
        <w:t xml:space="preserve"> an die Hausentwässerung, unter Beachtung der Vorschriften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nach Arbeitsblatt ATV-A251.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4E2686">
        <w:br/>
      </w:r>
      <w:r w:rsidR="00C76E11">
        <w:lastRenderedPageBreak/>
        <w:br/>
      </w:r>
    </w:p>
    <w:p w:rsidR="00395A86" w:rsidRDefault="00395A86" w:rsidP="0010712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E045A4">
        <w:t>2</w:t>
      </w:r>
      <w:r>
        <w:tab/>
      </w:r>
      <w:r>
        <w:rPr>
          <w:b/>
        </w:rPr>
        <w:t>...... St.</w:t>
      </w:r>
      <w:r>
        <w:tab/>
      </w:r>
      <w:r w:rsidR="00E045A4">
        <w:rPr>
          <w:b/>
        </w:rPr>
        <w:t>Obere Putztür</w:t>
      </w:r>
      <w:r w:rsidR="00E045A4">
        <w:t xml:space="preserve"> komplett, als Zuschlag</w:t>
      </w:r>
      <w:r w:rsidR="00E045A4">
        <w:br/>
      </w:r>
      <w:r>
        <w:br/>
      </w:r>
      <w:r w:rsidR="00CA3C96">
        <w:t>Material</w:t>
      </w:r>
      <w:r>
        <w:t>:</w:t>
      </w:r>
      <w:r w:rsidR="0010712A">
        <w:br/>
      </w:r>
      <w:r w:rsidR="00CA3C96">
        <w:t>Lohn</w:t>
      </w:r>
      <w:r>
        <w:t>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10712A">
        <w:br/>
      </w:r>
      <w:r w:rsidR="0010712A"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........ stgm.</w:t>
      </w:r>
      <w:r>
        <w:tab/>
      </w:r>
      <w:r>
        <w:rPr>
          <w:b/>
        </w:rPr>
        <w:t>Biegesteife Ausführung</w:t>
      </w:r>
      <w:r>
        <w:t xml:space="preserve"> als Zuschlag</w:t>
      </w:r>
      <w:r w:rsidRPr="003D2C8F">
        <w:t>,</w:t>
      </w:r>
      <w:r w:rsidRPr="003D2C8F">
        <w:br/>
      </w:r>
      <w:r>
        <w:t>korrosionsgeschützte Zweigelenk-Schraubverbindung der Elemente, werkseitig</w:t>
      </w:r>
      <w:r w:rsidR="004E2686">
        <w:t xml:space="preserve"> eingebaut.</w:t>
      </w:r>
      <w:r w:rsidR="004E2686">
        <w:br/>
      </w:r>
      <w:r w:rsidR="004E2686">
        <w:br/>
        <w:t>Material:</w:t>
      </w:r>
      <w:r w:rsidR="004E2686">
        <w:br/>
        <w:t>Lohn:</w:t>
      </w:r>
      <w:r w:rsidR="004E2686">
        <w:tab/>
      </w:r>
      <w:r w:rsidR="004E2686">
        <w:tab/>
      </w:r>
      <w:r w:rsidR="004E2686">
        <w:tab/>
      </w:r>
      <w:r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Standard,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verstärkt,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Alternativposition:</w:t>
      </w:r>
    </w:p>
    <w:p w:rsidR="00C76E11" w:rsidRDefault="00C76E11" w:rsidP="004E268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>Ausführung und Farbe nach Lieferprogramm, inkl. bauseitiger Anpassung</w:t>
      </w:r>
      <w:r>
        <w:br/>
        <w:t>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................ cm</w:t>
      </w:r>
      <w:r>
        <w:br/>
      </w:r>
      <w:r>
        <w:br/>
        <w:t>Ma</w:t>
      </w:r>
      <w:r w:rsidR="004E2686">
        <w:t>terial:</w:t>
      </w:r>
      <w:r w:rsidR="004E2686">
        <w:br/>
        <w:t>Lohn:</w:t>
      </w:r>
      <w:r w:rsidR="004E2686">
        <w:tab/>
      </w:r>
      <w:r w:rsidR="004E2686">
        <w:tab/>
      </w:r>
      <w:r w:rsidR="004E2686">
        <w:tab/>
        <w:t>E.P.:</w:t>
      </w:r>
      <w:r w:rsidR="004E2686">
        <w:tab/>
      </w:r>
      <w:r w:rsidR="004E2686">
        <w:tab/>
      </w:r>
      <w:r w:rsidR="004E2686">
        <w:tab/>
        <w:t>G.P.:</w:t>
      </w:r>
      <w:r w:rsidR="004E2686">
        <w:br/>
      </w:r>
      <w:r>
        <w:br/>
        <w:t>Alternativposition:</w:t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2686">
        <w:t>8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 xml:space="preserve">örtliche Schornsteinkopfverkleidung </w:t>
      </w:r>
      <w:r w:rsidRPr="00E8769B">
        <w:rPr>
          <w:b/>
        </w:rPr>
        <w:t>als ............................</w:t>
      </w:r>
      <w:r w:rsidRPr="00E8769B">
        <w:rPr>
          <w:b/>
        </w:rPr>
        <w:br/>
      </w:r>
      <w:r>
        <w:rPr>
          <w:b/>
        </w:rPr>
        <w:br/>
      </w:r>
      <w:r w:rsidR="004E2686">
        <w:t>Material:</w:t>
      </w:r>
      <w:r w:rsidR="004E2686">
        <w:br/>
        <w:t>Lohn:</w:t>
      </w:r>
      <w:r w:rsidR="004E2686">
        <w:tab/>
      </w:r>
      <w:r w:rsidR="004E2686">
        <w:tab/>
      </w:r>
      <w:r w:rsidR="004E2686">
        <w:tab/>
      </w:r>
      <w:r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2686">
        <w:t>9</w:t>
      </w:r>
      <w:r>
        <w:tab/>
      </w:r>
      <w:r>
        <w:rPr>
          <w:b/>
        </w:rPr>
        <w:t>...... St.</w:t>
      </w:r>
      <w:r>
        <w:tab/>
      </w:r>
      <w:r w:rsidRPr="008B2C5F">
        <w:rPr>
          <w:rFonts w:cs="Arial"/>
          <w:b/>
          <w:color w:val="000000"/>
        </w:rPr>
        <w:t>Verschlämmen der Oberfläche</w:t>
      </w:r>
      <w:r>
        <w:rPr>
          <w:rFonts w:cs="Arial"/>
          <w:b/>
          <w:color w:val="000000"/>
        </w:rPr>
        <w:t>n</w:t>
      </w:r>
      <w:r>
        <w:rPr>
          <w:rFonts w:cs="Arial"/>
          <w:color w:val="000000"/>
        </w:rPr>
        <w:t xml:space="preserve"> (werkseitig),</w:t>
      </w:r>
      <w:r>
        <w:rPr>
          <w:rFonts w:cs="Arial"/>
          <w:color w:val="000000"/>
        </w:rPr>
        <w:br/>
        <w:t>als Zuschlag, je Anlage</w:t>
      </w:r>
      <w:r>
        <w:rPr>
          <w:rFonts w:cs="Arial"/>
          <w:color w:val="000000"/>
        </w:rPr>
        <w:br/>
      </w:r>
      <w:r>
        <w:br/>
        <w:t>Material:</w:t>
      </w:r>
      <w:r>
        <w:br/>
      </w:r>
      <w:r w:rsidR="004E2686">
        <w:t>Lohn:</w:t>
      </w:r>
      <w:r w:rsidR="004E2686">
        <w:tab/>
      </w:r>
      <w:r w:rsidR="004E2686">
        <w:tab/>
      </w:r>
      <w:r w:rsidR="004E2686">
        <w:tab/>
      </w:r>
      <w:r>
        <w:t>E.P.:</w:t>
      </w:r>
      <w:r>
        <w:tab/>
      </w:r>
      <w:r>
        <w:tab/>
      </w:r>
      <w:r>
        <w:tab/>
        <w:t>G.P.:</w:t>
      </w:r>
      <w:r w:rsidR="004E2686">
        <w:br/>
      </w:r>
      <w:r>
        <w:br/>
      </w:r>
    </w:p>
    <w:p w:rsidR="00C76E11" w:rsidRDefault="00C76E11" w:rsidP="00C76E1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4E2686">
        <w:t>0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Pr="002D52DA">
        <w:t>zum</w:t>
      </w:r>
      <w:r>
        <w:t xml:space="preserve"> Anheben und Versetzen der AVANT-PARAT Elemente, </w:t>
      </w:r>
      <w:r>
        <w:br/>
        <w:t>Set</w:t>
      </w:r>
      <w:r w:rsidR="004E2686">
        <w:t>:  4 Stück</w:t>
      </w:r>
      <w:r w:rsidR="004E2686">
        <w:br/>
      </w:r>
      <w:r w:rsidR="004E2686">
        <w:br/>
        <w:t>Material:</w:t>
      </w:r>
      <w:r w:rsidR="004E2686">
        <w:br/>
        <w:t>Lohn:</w:t>
      </w:r>
      <w:r w:rsidR="004E2686">
        <w:tab/>
      </w:r>
      <w:r w:rsidR="004E2686">
        <w:tab/>
      </w:r>
      <w:r w:rsidR="004E2686">
        <w:tab/>
      </w:r>
      <w:r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C76E11" w:rsidRDefault="00C76E11" w:rsidP="00C76E1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C76E11" w:rsidRDefault="00C76E11" w:rsidP="00C76E1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6E11" w:rsidRPr="00F537D4" w:rsidRDefault="00C76E11" w:rsidP="00C76E1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C76E11" w:rsidRDefault="00C76E11" w:rsidP="00C76E1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C76E11">
      <w:footerReference w:type="default" r:id="rId7"/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82" w:rsidRDefault="00646082">
      <w:r>
        <w:separator/>
      </w:r>
    </w:p>
  </w:endnote>
  <w:endnote w:type="continuationSeparator" w:id="0">
    <w:p w:rsidR="00646082" w:rsidRDefault="0064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0121A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82" w:rsidRDefault="00646082">
      <w:r>
        <w:separator/>
      </w:r>
    </w:p>
  </w:footnote>
  <w:footnote w:type="continuationSeparator" w:id="0">
    <w:p w:rsidR="00646082" w:rsidRDefault="0064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singleLevel"/>
    <w:tmpl w:val="205608B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40"/>
    <w:rsid w:val="000254A0"/>
    <w:rsid w:val="0008222D"/>
    <w:rsid w:val="0010712A"/>
    <w:rsid w:val="00124A23"/>
    <w:rsid w:val="001553EE"/>
    <w:rsid w:val="00225DFC"/>
    <w:rsid w:val="00250249"/>
    <w:rsid w:val="00354B33"/>
    <w:rsid w:val="00376B67"/>
    <w:rsid w:val="00395A86"/>
    <w:rsid w:val="003D132A"/>
    <w:rsid w:val="00407364"/>
    <w:rsid w:val="0049381B"/>
    <w:rsid w:val="004E2686"/>
    <w:rsid w:val="00542448"/>
    <w:rsid w:val="00646082"/>
    <w:rsid w:val="006467EE"/>
    <w:rsid w:val="00684596"/>
    <w:rsid w:val="00714159"/>
    <w:rsid w:val="007A2938"/>
    <w:rsid w:val="007D0531"/>
    <w:rsid w:val="0080121A"/>
    <w:rsid w:val="00860CB9"/>
    <w:rsid w:val="0087499D"/>
    <w:rsid w:val="00887B5D"/>
    <w:rsid w:val="008A622C"/>
    <w:rsid w:val="00934304"/>
    <w:rsid w:val="009612B1"/>
    <w:rsid w:val="009964FF"/>
    <w:rsid w:val="00A72A81"/>
    <w:rsid w:val="00AB5000"/>
    <w:rsid w:val="00AB55C3"/>
    <w:rsid w:val="00AC4232"/>
    <w:rsid w:val="00AD1140"/>
    <w:rsid w:val="00AD47BF"/>
    <w:rsid w:val="00AE6334"/>
    <w:rsid w:val="00B33B5C"/>
    <w:rsid w:val="00B717EB"/>
    <w:rsid w:val="00BD6A9B"/>
    <w:rsid w:val="00C078FB"/>
    <w:rsid w:val="00C76E11"/>
    <w:rsid w:val="00CA3C96"/>
    <w:rsid w:val="00CB07EC"/>
    <w:rsid w:val="00CB2131"/>
    <w:rsid w:val="00D0796C"/>
    <w:rsid w:val="00D52C8D"/>
    <w:rsid w:val="00E045A4"/>
    <w:rsid w:val="00E41C3F"/>
    <w:rsid w:val="00F26907"/>
    <w:rsid w:val="00F3313E"/>
    <w:rsid w:val="00F525E3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03199-7AD3-457E-A4C7-0BC3E46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7D0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053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AVANT-PARAT</vt:lpstr>
    </vt:vector>
  </TitlesOfParts>
  <Company>Schiedel GmbH &amp; Co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AVANT-PARAT</dc:title>
  <dc:subject>geschosshohe Abgasleitung</dc:subject>
  <dc:creator>Gerhard Guhra</dc:creator>
  <cp:lastModifiedBy>Gerhard Guhra</cp:lastModifiedBy>
  <cp:revision>2</cp:revision>
  <cp:lastPrinted>2016-07-13T11:08:00Z</cp:lastPrinted>
  <dcterms:created xsi:type="dcterms:W3CDTF">2021-03-15T09:47:00Z</dcterms:created>
  <dcterms:modified xsi:type="dcterms:W3CDTF">2021-03-15T09:47:00Z</dcterms:modified>
</cp:coreProperties>
</file>